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06" w:rsidRPr="00D3762B" w:rsidRDefault="00414F06" w:rsidP="00414F06">
      <w:pPr>
        <w:pStyle w:val="a9"/>
        <w:ind w:left="0" w:firstLine="0"/>
        <w:rPr>
          <w:rFonts w:ascii="Arial" w:hAnsi="Arial" w:cs="Arial"/>
          <w:bCs/>
          <w:szCs w:val="24"/>
          <w:lang w:val="en-US"/>
        </w:rPr>
      </w:pPr>
      <w:r w:rsidRPr="00D3762B">
        <w:rPr>
          <w:rFonts w:ascii="Arial" w:hAnsi="Arial" w:cs="Arial"/>
          <w:bCs/>
          <w:szCs w:val="24"/>
          <w:lang w:val="en-US"/>
        </w:rPr>
        <w:t xml:space="preserve">3GPP TSG-RAN WG4 Meeting # </w:t>
      </w:r>
      <w:r w:rsidRPr="00D3762B">
        <w:rPr>
          <w:rFonts w:ascii="Arial" w:hAnsi="Arial" w:cs="Arial" w:hint="eastAsia"/>
          <w:bCs/>
          <w:szCs w:val="24"/>
          <w:lang w:val="en-US"/>
        </w:rPr>
        <w:t>100</w:t>
      </w:r>
      <w:r w:rsidRPr="00D3762B">
        <w:rPr>
          <w:rFonts w:ascii="Arial" w:hAnsi="Arial" w:cs="Arial"/>
          <w:bCs/>
          <w:szCs w:val="24"/>
          <w:lang w:val="en-US"/>
        </w:rPr>
        <w:t>-e</w:t>
      </w:r>
      <w:r w:rsidRPr="00D3762B"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 w:hint="eastAsia"/>
          <w:bCs/>
          <w:szCs w:val="24"/>
          <w:lang w:val="en-US"/>
        </w:rPr>
        <w:t xml:space="preserve">      </w:t>
      </w:r>
      <w:r>
        <w:rPr>
          <w:rFonts w:ascii="Arial" w:hAnsi="Arial" w:cs="Arial" w:hint="eastAsia"/>
          <w:bCs/>
          <w:szCs w:val="24"/>
          <w:lang w:val="en-US"/>
        </w:rPr>
        <w:tab/>
        <w:t xml:space="preserve">             </w:t>
      </w:r>
      <w:r w:rsidRPr="00D3762B">
        <w:rPr>
          <w:rFonts w:ascii="Arial" w:hAnsi="Arial" w:cs="Arial" w:hint="eastAsia"/>
          <w:bCs/>
          <w:szCs w:val="24"/>
          <w:lang w:val="en-US"/>
        </w:rPr>
        <w:t xml:space="preserve"> </w:t>
      </w:r>
      <w:r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ab/>
      </w:r>
      <w:r w:rsidRPr="00D3762B">
        <w:rPr>
          <w:rFonts w:ascii="Arial" w:hAnsi="Arial" w:cs="Arial"/>
          <w:bCs/>
          <w:szCs w:val="24"/>
          <w:lang w:val="en-US"/>
        </w:rPr>
        <w:t>R4-21</w:t>
      </w:r>
      <w:r w:rsidRPr="00D3762B">
        <w:rPr>
          <w:rFonts w:ascii="Arial" w:hAnsi="Arial" w:cs="Arial" w:hint="eastAsia"/>
          <w:bCs/>
          <w:szCs w:val="24"/>
          <w:lang w:val="en-US"/>
        </w:rPr>
        <w:t>1</w:t>
      </w:r>
      <w:r>
        <w:rPr>
          <w:rFonts w:ascii="Arial" w:hAnsi="Arial" w:cs="Arial" w:hint="eastAsia"/>
          <w:bCs/>
          <w:szCs w:val="24"/>
          <w:lang w:val="en-US"/>
        </w:rPr>
        <w:t>49</w:t>
      </w:r>
      <w:r w:rsidR="00653A10">
        <w:rPr>
          <w:rFonts w:ascii="Arial" w:hAnsi="Arial" w:cs="Arial"/>
          <w:bCs/>
          <w:szCs w:val="24"/>
          <w:lang w:val="en-US"/>
        </w:rPr>
        <w:t>83</w:t>
      </w:r>
    </w:p>
    <w:p w:rsidR="00414F06" w:rsidRPr="00D3762B" w:rsidRDefault="00414F06" w:rsidP="00414F06">
      <w:pPr>
        <w:pStyle w:val="a9"/>
        <w:ind w:left="0" w:firstLine="0"/>
        <w:rPr>
          <w:rFonts w:ascii="Arial" w:hAnsi="Arial" w:cs="Arial"/>
          <w:bCs/>
          <w:szCs w:val="24"/>
          <w:lang w:val="en-US"/>
        </w:rPr>
      </w:pPr>
      <w:r w:rsidRPr="00D3762B">
        <w:rPr>
          <w:rFonts w:ascii="Arial" w:hAnsi="Arial" w:cs="Arial"/>
          <w:bCs/>
          <w:szCs w:val="24"/>
          <w:lang w:val="en-US"/>
        </w:rPr>
        <w:t xml:space="preserve">Electronic Meeting, </w:t>
      </w:r>
      <w:r>
        <w:rPr>
          <w:rFonts w:ascii="Arial" w:hAnsi="Arial" w:cs="Arial"/>
          <w:bCs/>
          <w:szCs w:val="24"/>
          <w:lang w:val="en-US"/>
        </w:rPr>
        <w:t>16</w:t>
      </w:r>
      <w:r w:rsidRPr="00414F06"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-27</w:t>
      </w:r>
      <w:r w:rsidRPr="00414F06"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D3762B">
        <w:rPr>
          <w:rFonts w:ascii="Arial" w:hAnsi="Arial" w:cs="Arial" w:hint="eastAsia"/>
          <w:bCs/>
          <w:szCs w:val="24"/>
          <w:lang w:val="en-US"/>
        </w:rPr>
        <w:t>August</w:t>
      </w:r>
      <w:r w:rsidRPr="00D3762B">
        <w:rPr>
          <w:rFonts w:ascii="Arial" w:hAnsi="Arial" w:cs="Arial"/>
          <w:bCs/>
          <w:szCs w:val="24"/>
          <w:lang w:val="en-US"/>
        </w:rPr>
        <w:t>, 2021</w:t>
      </w:r>
    </w:p>
    <w:p w:rsidR="00414F06" w:rsidRPr="00D3762B" w:rsidRDefault="00414F06" w:rsidP="00414F06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bCs/>
        </w:rPr>
      </w:pPr>
    </w:p>
    <w:p w:rsidR="00414F06" w:rsidRP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 xml:space="preserve">Title: </w:t>
      </w:r>
      <w:r w:rsidRPr="00414F06">
        <w:rPr>
          <w:rFonts w:ascii="Arial" w:eastAsia="MS Mincho" w:hAnsi="Arial" w:cs="Arial"/>
          <w:b/>
          <w:szCs w:val="24"/>
        </w:rPr>
        <w:tab/>
      </w:r>
      <w:r w:rsidRPr="00414F06">
        <w:rPr>
          <w:rFonts w:ascii="Arial" w:eastAsia="MS Mincho" w:hAnsi="Arial" w:cs="Arial" w:hint="eastAsia"/>
          <w:b/>
          <w:szCs w:val="24"/>
        </w:rPr>
        <w:t>WF</w:t>
      </w:r>
      <w:r w:rsidRPr="00414F06">
        <w:rPr>
          <w:rFonts w:ascii="Arial" w:eastAsia="MS Mincho" w:hAnsi="Arial" w:cs="Arial"/>
          <w:b/>
          <w:szCs w:val="24"/>
        </w:rPr>
        <w:t xml:space="preserve"> on </w:t>
      </w:r>
      <w:r w:rsidR="00653A10">
        <w:rPr>
          <w:rFonts w:ascii="Arial" w:eastAsia="MS Mincho" w:hAnsi="Arial" w:cs="Arial"/>
          <w:b/>
          <w:szCs w:val="24"/>
        </w:rPr>
        <w:t>MPR</w:t>
      </w:r>
      <w:r w:rsidR="00653A10" w:rsidRPr="00653A10">
        <w:rPr>
          <w:rFonts w:ascii="Arial" w:eastAsia="MS Mincho" w:hAnsi="Arial" w:cs="Arial" w:hint="eastAsia"/>
          <w:b/>
          <w:szCs w:val="24"/>
        </w:rPr>
        <w:t xml:space="preserve"> for intra-band </w:t>
      </w:r>
      <w:r w:rsidR="00653A10">
        <w:rPr>
          <w:rFonts w:ascii="Arial" w:eastAsia="MS Mincho" w:hAnsi="Arial" w:cs="Arial"/>
          <w:b/>
          <w:szCs w:val="24"/>
        </w:rPr>
        <w:t xml:space="preserve">V2X </w:t>
      </w:r>
      <w:r w:rsidR="00653A10" w:rsidRPr="00653A10">
        <w:rPr>
          <w:rFonts w:ascii="Arial" w:eastAsia="MS Mincho" w:hAnsi="Arial" w:cs="Arial" w:hint="eastAsia"/>
          <w:b/>
          <w:szCs w:val="24"/>
        </w:rPr>
        <w:t>con-current operation</w:t>
      </w:r>
    </w:p>
    <w:p w:rsidR="00414F06" w:rsidRP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 xml:space="preserve">Source: </w:t>
      </w:r>
      <w:r w:rsidRPr="00414F06">
        <w:rPr>
          <w:rFonts w:ascii="Arial" w:eastAsia="MS Mincho" w:hAnsi="Arial" w:cs="Arial"/>
          <w:b/>
          <w:szCs w:val="24"/>
        </w:rPr>
        <w:tab/>
      </w:r>
      <w:r w:rsidRPr="00414F06">
        <w:rPr>
          <w:rFonts w:ascii="Arial" w:eastAsia="MS Mincho" w:hAnsi="Arial" w:cs="Arial" w:hint="eastAsia"/>
          <w:b/>
          <w:szCs w:val="24"/>
        </w:rPr>
        <w:t>LG Electronics</w:t>
      </w:r>
    </w:p>
    <w:p w:rsidR="00414F06" w:rsidRP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>Agenda item:</w:t>
      </w:r>
      <w:r w:rsidRPr="00414F06">
        <w:rPr>
          <w:rFonts w:ascii="Arial" w:eastAsia="MS Mincho" w:hAnsi="Arial" w:cs="Arial"/>
          <w:b/>
          <w:szCs w:val="24"/>
        </w:rPr>
        <w:tab/>
      </w:r>
      <w:r w:rsidR="00653A10">
        <w:rPr>
          <w:rFonts w:ascii="Arial" w:eastAsia="MS Mincho" w:hAnsi="Arial" w:cs="Arial" w:hint="eastAsia"/>
          <w:b/>
          <w:szCs w:val="24"/>
        </w:rPr>
        <w:t>9.15.5</w:t>
      </w:r>
      <w:r w:rsidR="00653A10">
        <w:rPr>
          <w:rFonts w:ascii="Arial" w:eastAsia="MS Mincho" w:hAnsi="Arial" w:cs="Arial"/>
          <w:b/>
          <w:szCs w:val="24"/>
        </w:rPr>
        <w:t>.4</w:t>
      </w:r>
    </w:p>
    <w:p w:rsid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>Document for:</w:t>
      </w:r>
      <w:r w:rsidRPr="00414F06">
        <w:rPr>
          <w:rFonts w:ascii="Arial" w:eastAsia="MS Mincho" w:hAnsi="Arial" w:cs="Arial"/>
          <w:b/>
          <w:szCs w:val="24"/>
        </w:rPr>
        <w:tab/>
      </w:r>
      <w:bookmarkStart w:id="0" w:name="DocumentFor"/>
      <w:bookmarkEnd w:id="0"/>
      <w:r w:rsidRPr="00414F06">
        <w:rPr>
          <w:rFonts w:ascii="Arial" w:eastAsia="MS Mincho" w:hAnsi="Arial" w:cs="Arial" w:hint="eastAsia"/>
          <w:b/>
          <w:szCs w:val="24"/>
        </w:rPr>
        <w:t>Approval</w:t>
      </w:r>
    </w:p>
    <w:p w:rsidR="00414F06" w:rsidRP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</w:p>
    <w:p w:rsidR="00502BF8" w:rsidRPr="00414F06" w:rsidRDefault="00414F06">
      <w:pPr>
        <w:rPr>
          <w:lang w:val="en-GB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>
                <wp:extent cx="5926347" cy="5924550"/>
                <wp:effectExtent l="0" t="0" r="17780" b="1905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347" cy="5924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Pr="00414F06" w:rsidRDefault="002D5F60" w:rsidP="00502BF8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rFonts w:hint="eastAsia"/>
                                <w:b/>
                                <w:sz w:val="40"/>
                                <w:szCs w:val="36"/>
                              </w:rPr>
                              <w:t>Background</w:t>
                            </w:r>
                            <w:r w:rsidR="00653A10">
                              <w:rPr>
                                <w:b/>
                                <w:sz w:val="40"/>
                                <w:szCs w:val="36"/>
                              </w:rPr>
                              <w:t xml:space="preserve"> [1]</w:t>
                            </w:r>
                          </w:p>
                          <w:p w:rsidR="00926401" w:rsidRPr="00414F06" w:rsidRDefault="00B52D76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During RAN4#99-e &amp; RAN4 #100-e meeting, RAN4 discussed 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the required MPR values for intra-band V2X con-current operation</w:t>
                            </w: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.</w:t>
                            </w:r>
                          </w:p>
                          <w:p w:rsidR="00926401" w:rsidRDefault="00B52D76" w:rsidP="00953D1C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In 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RAN4 #99-e meeting, RAN4 agreed 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to 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the detail MPR requireme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nts for intra-band V2X con-curr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ent operation UE in R4-21107870 as follow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s</w:t>
                            </w: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. </w:t>
                            </w:r>
                          </w:p>
                          <w:p w:rsidR="00653A10" w:rsidRPr="00653A10" w:rsidRDefault="00554D59" w:rsidP="00653A10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Issue 3-2-3: MPR for PC2 UE</w:t>
                            </w:r>
                          </w:p>
                          <w:p w:rsidR="00653A10" w:rsidRPr="00414F06" w:rsidRDefault="00653A10" w:rsidP="00653A10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8"/>
                                <w:szCs w:val="24"/>
                                <w:lang w:eastAsia="ko-KR"/>
                              </w:rPr>
                              <w:drawing>
                                <wp:inline distT="0" distB="0" distL="0" distR="0">
                                  <wp:extent cx="5151455" cy="1820173"/>
                                  <wp:effectExtent l="0" t="0" r="0" b="8890"/>
                                  <wp:docPr id="1" name="그림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0856" cy="18270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Issue 3-2-3: MPR for PC2 UE</w:t>
                            </w:r>
                          </w:p>
                          <w:p w:rsidR="00414F06" w:rsidRPr="00414F06" w:rsidRDefault="00653A10" w:rsidP="00653A10">
                            <w:pPr>
                              <w:pStyle w:val="a3"/>
                              <w:ind w:leftChars="400" w:left="88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  <w:lang w:eastAsia="ko-KR"/>
                              </w:rPr>
                              <w:drawing>
                                <wp:inline distT="0" distB="0" distL="0" distR="0">
                                  <wp:extent cx="5047603" cy="1776217"/>
                                  <wp:effectExtent l="0" t="0" r="1270" b="0"/>
                                  <wp:docPr id="3" name="그림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76591" cy="17864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D5F60" w:rsidRPr="00687D51" w:rsidRDefault="002D5F60" w:rsidP="002D5F6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65pt;height:46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" fillcolor="white [3201]" strokeweight=".5pt">
                <v:textbox>
                  <w:txbxContent>
                    <w:p w:rsidR="00502BF8" w:rsidRPr="00414F06" w:rsidRDefault="002D5F60" w:rsidP="00502BF8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rFonts w:hint="eastAsia"/>
                          <w:b/>
                          <w:sz w:val="40"/>
                          <w:szCs w:val="36"/>
                        </w:rPr>
                        <w:t>Background</w:t>
                      </w:r>
                      <w:r w:rsidR="00653A10">
                        <w:rPr>
                          <w:b/>
                          <w:sz w:val="40"/>
                          <w:szCs w:val="36"/>
                        </w:rPr>
                        <w:t xml:space="preserve"> [1]</w:t>
                      </w:r>
                    </w:p>
                    <w:p w:rsidR="00926401" w:rsidRPr="00414F06" w:rsidRDefault="00B52D76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During RAN4#99-e &amp; RAN4 #100-e meeting, RAN4 discussed 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the required MPR values for intra-band V2X con-current operation</w:t>
                      </w: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.</w:t>
                      </w:r>
                    </w:p>
                    <w:p w:rsidR="00926401" w:rsidRDefault="00B52D76" w:rsidP="00953D1C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120"/>
                        <w:ind w:left="714" w:hanging="357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In 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RAN4 #99-e meeting, RAN4 agreed 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to 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the detail MPR requireme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nts for intra-band V2X con-curr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ent operation UE in R4-21107870 as follow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s</w:t>
                      </w: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. </w:t>
                      </w:r>
                    </w:p>
                    <w:p w:rsidR="00653A10" w:rsidRPr="00653A10" w:rsidRDefault="00554D59" w:rsidP="00653A10">
                      <w:pPr>
                        <w:pStyle w:val="a3"/>
                        <w:numPr>
                          <w:ilvl w:val="1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Issue 3-2-3: MPR for PC2 UE</w:t>
                      </w:r>
                    </w:p>
                    <w:p w:rsidR="00653A10" w:rsidRPr="00414F06" w:rsidRDefault="00653A10" w:rsidP="00653A10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8"/>
                          <w:szCs w:val="24"/>
                          <w:lang w:eastAsia="ko-KR"/>
                        </w:rPr>
                        <w:drawing>
                          <wp:inline distT="0" distB="0" distL="0" distR="0">
                            <wp:extent cx="5151455" cy="1820173"/>
                            <wp:effectExtent l="0" t="0" r="0" b="8890"/>
                            <wp:docPr id="1" name="그림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0856" cy="18270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1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Issue 3-2-3: MPR for PC2 UE</w:t>
                      </w:r>
                    </w:p>
                    <w:p w:rsidR="00414F06" w:rsidRPr="00414F06" w:rsidRDefault="00653A10" w:rsidP="00653A10">
                      <w:pPr>
                        <w:pStyle w:val="a3"/>
                        <w:ind w:leftChars="400" w:left="88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  <w:lang w:eastAsia="ko-KR"/>
                        </w:rPr>
                        <w:drawing>
                          <wp:inline distT="0" distB="0" distL="0" distR="0">
                            <wp:extent cx="5047603" cy="1776217"/>
                            <wp:effectExtent l="0" t="0" r="1270" b="0"/>
                            <wp:docPr id="3" name="그림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76591" cy="17864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D5F60" w:rsidRPr="00687D51" w:rsidRDefault="002D5F60" w:rsidP="002D5F60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02BF8" w:rsidRDefault="00502BF8"/>
    <w:p w:rsidR="00653A10" w:rsidRDefault="00653A10"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46CBE044" wp14:editId="16675C62">
                <wp:extent cx="5926347" cy="4209691"/>
                <wp:effectExtent l="0" t="0" r="17780" b="19685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347" cy="42096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A10" w:rsidRPr="00414F06" w:rsidRDefault="00653A10" w:rsidP="00653A10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rFonts w:hint="eastAsia"/>
                                <w:b/>
                                <w:sz w:val="40"/>
                                <w:szCs w:val="36"/>
                              </w:rPr>
                              <w:t>Background</w:t>
                            </w:r>
                            <w:r>
                              <w:rPr>
                                <w:b/>
                                <w:sz w:val="40"/>
                                <w:szCs w:val="36"/>
                              </w:rPr>
                              <w:t xml:space="preserve"> [2]</w:t>
                            </w:r>
                          </w:p>
                          <w:p w:rsidR="00653A10" w:rsidRDefault="00653A10" w:rsidP="00653A10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spacing w:after="24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However, interest</w:t>
                            </w:r>
                            <w:r w:rsidR="00B21CA9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ed companies proposed to revise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MPR requirements for V2X UE i</w:t>
                            </w: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n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RAN4 #100-e meeting as follow, 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Issue 3-1-1</w:t>
                            </w:r>
                            <w:r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: MPR for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intra-band V2X con-current </w:t>
                            </w:r>
                            <w:r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UE</w:t>
                            </w:r>
                          </w:p>
                          <w:p w:rsidR="00653A10" w:rsidRPr="00414F06" w:rsidRDefault="00653A10" w:rsidP="00653A10">
                            <w:pPr>
                              <w:pStyle w:val="a3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Option 1: </w:t>
                            </w: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 xml:space="preserve">Consider MPR requirements for intra-band V2X con-current 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operation</w:t>
                            </w: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 xml:space="preserve"> in R4-2112341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to keep the agreed MPR requirements in RAN4 #99-e meeting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>Option 2: S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pecify 2dB MPR for 23dBm 64QAM, 4dB MPR for 23dBm 256QAM, 4.5dB MPR for 26dBm 64QAM and 7dB MPR for 26dBm 256QAM, no matter what the RB allocation is.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 xml:space="preserve">Option 3: 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The MPR values given in 38.101-3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[2] for cellular EN-DC shall adopt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for V2X intra-band con-current operat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ion where separate RF chains are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used 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for Uu and SL.</w:t>
                            </w:r>
                          </w:p>
                          <w:p w:rsidR="00653A10" w:rsidRDefault="00653A10" w:rsidP="00E752A2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spacing w:after="24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Therefore, RAN4 need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s</w:t>
                            </w:r>
                            <w:r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further discuss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ion</w:t>
                            </w:r>
                            <w:r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953D1C"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to specify the MPR requirements </w:t>
                            </w:r>
                            <w:r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and </w:t>
                            </w:r>
                            <w:r w:rsidR="00953D1C"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need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s</w:t>
                            </w:r>
                            <w:r w:rsidR="00953D1C"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more input to </w:t>
                            </w:r>
                            <w:r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understand the reason </w:t>
                            </w:r>
                            <w:r w:rsidR="00953D1C"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for the </w:t>
                            </w:r>
                            <w:r w:rsidRP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relaxed MPR values based on the evidence for intra-band V2X con-current operation 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CBE044" id="Text Box 5" o:spid="_x0000_s1027" type="#_x0000_t202" style="width:466.65pt;height:33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" fillcolor="white [3201]" strokeweight=".5pt">
                <v:textbox>
                  <w:txbxContent>
                    <w:p w:rsidR="00653A10" w:rsidRPr="00414F06" w:rsidRDefault="00653A10" w:rsidP="00653A10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rFonts w:hint="eastAsia"/>
                          <w:b/>
                          <w:sz w:val="40"/>
                          <w:szCs w:val="36"/>
                        </w:rPr>
                        <w:t>Background</w:t>
                      </w:r>
                      <w:r>
                        <w:rPr>
                          <w:b/>
                          <w:sz w:val="40"/>
                          <w:szCs w:val="36"/>
                        </w:rPr>
                        <w:t xml:space="preserve"> [2]</w:t>
                      </w:r>
                    </w:p>
                    <w:p w:rsidR="00653A10" w:rsidRDefault="00653A10" w:rsidP="00653A10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240"/>
                        <w:ind w:left="714" w:hanging="357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However, interest</w:t>
                      </w:r>
                      <w:r w:rsidR="00B21CA9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ed companies proposed to revise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MPR requirements for V2X UE i</w:t>
                      </w: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n 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RAN4 #100-e meeting as follow, 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1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Issue 3-1-1</w:t>
                      </w:r>
                      <w:r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 xml:space="preserve">: MPR for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 xml:space="preserve">intra-band V2X con-current </w:t>
                      </w:r>
                      <w:r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UE</w:t>
                      </w:r>
                    </w:p>
                    <w:p w:rsidR="00653A10" w:rsidRPr="00414F06" w:rsidRDefault="00653A10" w:rsidP="00653A10">
                      <w:pPr>
                        <w:pStyle w:val="a3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Option 1: </w:t>
                      </w: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 xml:space="preserve">Consider MPR requirements for intra-band V2X con-current 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operation</w:t>
                      </w: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 xml:space="preserve"> in R4-2112341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to keep the agreed MPR requirements in RAN4 #99-e meeting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>Option 2: S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pecify 2dB MPR for 23dBm 64QAM, 4dB MPR for 23dBm 256QAM, 4.5dB MPR for 26dBm 64QAM and 7dB MPR for 26dBm 256QAM, no matter what the RB allocation is.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 xml:space="preserve">Option 3: 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The MPR values given in 38.101-3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[2] for cellular EN-DC shall adopt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for V2X intra-band con-current operat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ion where separate RF chains are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used 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for Uu and SL.</w:t>
                      </w:r>
                    </w:p>
                    <w:p w:rsidR="00653A10" w:rsidRDefault="00653A10" w:rsidP="00E752A2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240"/>
                        <w:ind w:left="714" w:hanging="357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Therefore, RAN4 need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s</w:t>
                      </w:r>
                      <w:r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further discuss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ion</w:t>
                      </w:r>
                      <w:r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="00953D1C"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to specify the MPR requirements </w:t>
                      </w:r>
                      <w:r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and </w:t>
                      </w:r>
                      <w:r w:rsidR="00953D1C"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need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s</w:t>
                      </w:r>
                      <w:r w:rsidR="00953D1C"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more input to </w:t>
                      </w:r>
                      <w:r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understand the reason </w:t>
                      </w:r>
                      <w:r w:rsidR="00953D1C"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for the </w:t>
                      </w:r>
                      <w:r w:rsidRP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relaxed MPR values based on the evidence for intra-band V2X con-current operation UE.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2BF8" w:rsidRDefault="00414F06"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011EFAE6" wp14:editId="1C8BEDF9">
                <wp:extent cx="5926347" cy="3847381"/>
                <wp:effectExtent l="0" t="0" r="17780" b="2032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347" cy="3847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F06" w:rsidRPr="00414F06" w:rsidRDefault="00953D1C" w:rsidP="00414F06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36"/>
                              </w:rPr>
                              <w:t>Discussion on the</w:t>
                            </w:r>
                            <w:r w:rsidR="00414F06" w:rsidRPr="00414F06">
                              <w:rPr>
                                <w:b/>
                                <w:sz w:val="40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40"/>
                                <w:szCs w:val="36"/>
                              </w:rPr>
                              <w:t>c</w:t>
                            </w:r>
                            <w:r w:rsidR="00653A10">
                              <w:rPr>
                                <w:b/>
                                <w:sz w:val="40"/>
                                <w:szCs w:val="36"/>
                              </w:rPr>
                              <w:t>andidate Options</w:t>
                            </w:r>
                          </w:p>
                          <w:p w:rsidR="00414F06" w:rsidRPr="00414F06" w:rsidRDefault="00414F06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Issue </w:t>
                            </w:r>
                            <w:r w:rsid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3-1-1</w:t>
                            </w:r>
                            <w:r w:rsidR="00653A10"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: MPR for </w:t>
                            </w:r>
                            <w:r w:rsid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intra-band V2X con-current </w:t>
                            </w:r>
                            <w:r w:rsidR="00653A10"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UE</w:t>
                            </w:r>
                          </w:p>
                          <w:p w:rsidR="00414F06" w:rsidRPr="00414F06" w:rsidRDefault="00414F06" w:rsidP="00414F06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14F06" w:rsidRDefault="00653A10" w:rsidP="00414F06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Observation for Option 2 in Background </w:t>
                            </w:r>
                            <w:r w:rsidR="00953D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[2]</w:t>
                            </w:r>
                          </w:p>
                          <w:p w:rsidR="00414F06" w:rsidRDefault="00653A10" w:rsidP="00414F06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In R4-2113410, 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proponent did not provide any evidence to relax the agreed MPR requirements.</w:t>
                            </w:r>
                          </w:p>
                          <w:p w:rsidR="00653A10" w:rsidRPr="00414F06" w:rsidRDefault="00653A10" w:rsidP="00414F06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RAN4 can revise the MPR requirements based on the MPR simulation results when the interested company provide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the detail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ed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simulation results based on the RAN4 agreed MPR simulation assumptions.</w:t>
                            </w:r>
                          </w:p>
                          <w:p w:rsidR="00414F06" w:rsidRDefault="00653A10" w:rsidP="00653A10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before="240"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Observation for Option 3 in Background </w:t>
                            </w:r>
                            <w:r w:rsidR="00953D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[2]</w:t>
                            </w:r>
                          </w:p>
                          <w:p w:rsid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In R4-2112284, 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proponent proposed to reuse EN-DC MPR requirements for intra-band V2X con-current operation.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But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the MPR requirement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 of EN-DC UE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 did not consider the difference 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between V2X specific channel and NR UE’s channel such as 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S-SSB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 transmission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 PSFCH 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multiplexing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,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and PSSCH/PSCCH multiplexing. So it is impossible to reuse the EN-DC MPR requirements for 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intra-band V2X con-current UE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1EFAE6" id="Text Box 4" o:spid="_x0000_s1028" type="#_x0000_t202" style="width:466.65pt;height:30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" fillcolor="white [3201]" strokeweight=".5pt">
                <v:textbox>
                  <w:txbxContent>
                    <w:p w:rsidR="00414F06" w:rsidRPr="00414F06" w:rsidRDefault="00953D1C" w:rsidP="00414F06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>
                        <w:rPr>
                          <w:b/>
                          <w:sz w:val="40"/>
                          <w:szCs w:val="36"/>
                        </w:rPr>
                        <w:t>Discussion on the</w:t>
                      </w:r>
                      <w:r w:rsidR="00414F06" w:rsidRPr="00414F06">
                        <w:rPr>
                          <w:b/>
                          <w:sz w:val="40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40"/>
                          <w:szCs w:val="36"/>
                        </w:rPr>
                        <w:t>c</w:t>
                      </w:r>
                      <w:r w:rsidR="00653A10">
                        <w:rPr>
                          <w:b/>
                          <w:sz w:val="40"/>
                          <w:szCs w:val="36"/>
                        </w:rPr>
                        <w:t>andidate Options</w:t>
                      </w:r>
                    </w:p>
                    <w:p w:rsidR="00414F06" w:rsidRPr="00414F06" w:rsidRDefault="00414F06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Issue </w:t>
                      </w:r>
                      <w:r w:rsid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3-1-1</w:t>
                      </w:r>
                      <w:r w:rsidR="00653A10"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 xml:space="preserve">: MPR for </w:t>
                      </w:r>
                      <w:r w:rsid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 xml:space="preserve">intra-band V2X con-current </w:t>
                      </w:r>
                      <w:r w:rsidR="00653A10"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UE</w:t>
                      </w:r>
                    </w:p>
                    <w:p w:rsidR="00414F06" w:rsidRPr="00414F06" w:rsidRDefault="00414F06" w:rsidP="00414F06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414F06" w:rsidRDefault="00653A10" w:rsidP="00414F06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Observation for Option 2 in Background </w:t>
                      </w:r>
                      <w:r w:rsidR="00953D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[2]</w:t>
                      </w:r>
                    </w:p>
                    <w:p w:rsidR="00414F06" w:rsidRDefault="00653A10" w:rsidP="00414F06">
                      <w:pPr>
                        <w:pStyle w:val="a3"/>
                        <w:numPr>
                          <w:ilvl w:val="2"/>
                          <w:numId w:val="11"/>
                        </w:numPr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In R4-2113410, 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proponent did not provide any evidence to relax the agreed MPR requirements.</w:t>
                      </w:r>
                    </w:p>
                    <w:p w:rsidR="00653A10" w:rsidRPr="00414F06" w:rsidRDefault="00653A10" w:rsidP="00414F06">
                      <w:pPr>
                        <w:pStyle w:val="a3"/>
                        <w:numPr>
                          <w:ilvl w:val="2"/>
                          <w:numId w:val="11"/>
                        </w:numPr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RAN4 can revise the MPR requirements based on the MPR simulation results when the interested company provide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the detail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ed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simulation results based on the RAN4 agreed MPR simulation assumptions.</w:t>
                      </w:r>
                    </w:p>
                    <w:p w:rsidR="00414F06" w:rsidRDefault="00653A10" w:rsidP="00653A10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before="240"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Observation for Option 3 in Background </w:t>
                      </w:r>
                      <w:r w:rsidR="00953D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[2]</w:t>
                      </w:r>
                    </w:p>
                    <w:p w:rsid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In R4-2112284, 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proponent proposed to reuse EN-DC MPR requirements for intra-band V2X con-current operation.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 xml:space="preserve">But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the MPR requirement</w:t>
                      </w:r>
                      <w:r w:rsidR="00953D1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 of EN-DC UE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 did not consider the difference </w:t>
                      </w:r>
                      <w:r w:rsidR="00953D1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between V2X specific channel and NR UE’s channel such as </w:t>
                      </w: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>S-SSB</w:t>
                      </w:r>
                      <w:r w:rsidR="00953D1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 transmission</w:t>
                      </w: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>,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 PSFCH </w:t>
                      </w:r>
                      <w:r w:rsidR="00953D1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multiplexing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,</w:t>
                      </w:r>
                      <w:r w:rsidR="00953D1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and PSSCH/PSCCH multiplexing. So it is impossible to reuse the EN-DC MPR requirements for 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intra-band V2X con-current UE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2BF8" w:rsidRDefault="00502BF8"/>
    <w:p w:rsidR="00502BF8" w:rsidRDefault="00414F06"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5045483D" wp14:editId="0CF1240E">
                <wp:extent cx="5926347" cy="4839419"/>
                <wp:effectExtent l="0" t="0" r="17780" b="18415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347" cy="4839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F06" w:rsidRPr="00414F06" w:rsidRDefault="00414F06" w:rsidP="00414F06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b/>
                                <w:sz w:val="40"/>
                                <w:szCs w:val="36"/>
                              </w:rPr>
                              <w:t xml:space="preserve">WF: </w:t>
                            </w:r>
                            <w:r w:rsidR="00653A10">
                              <w:rPr>
                                <w:b/>
                                <w:sz w:val="40"/>
                                <w:szCs w:val="36"/>
                              </w:rPr>
                              <w:t>MPR</w:t>
                            </w:r>
                            <w:r>
                              <w:rPr>
                                <w:b/>
                                <w:sz w:val="40"/>
                                <w:szCs w:val="36"/>
                              </w:rPr>
                              <w:t xml:space="preserve"> requirements</w:t>
                            </w:r>
                          </w:p>
                          <w:p w:rsidR="00653A10" w:rsidRPr="00414F06" w:rsidRDefault="00653A10" w:rsidP="00653A10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Issue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3-1-1</w:t>
                            </w:r>
                            <w:r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: MPR for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intra-band V2X con-current </w:t>
                            </w:r>
                            <w:r w:rsidRPr="00653A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UE</w:t>
                            </w:r>
                          </w:p>
                          <w:p w:rsidR="00414F06" w:rsidRPr="00414F06" w:rsidRDefault="00414F06" w:rsidP="00653A10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14F06" w:rsidRDefault="00414F06" w:rsidP="00414F06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414F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Candidate options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Option 1: </w:t>
                            </w: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 xml:space="preserve">Consider MPR requirements for intra-band V2X con-current 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operation</w:t>
                            </w: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 xml:space="preserve"> in R4-2112341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to keep the agreed MPR requirements in RAN4 #99-e meeting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>Option 2: S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pecify 2dB MPR for 23dBm 64QAM, 4dB MPR for 23dBm 256QAM, 4.5dB MPR for 26dBm 64QAM and 7dB MPR for 26dBm 256QAM, no matter what the RB allocation is.</w:t>
                            </w:r>
                          </w:p>
                          <w:p w:rsidR="00653A10" w:rsidRPr="00653A10" w:rsidRDefault="00653A10" w:rsidP="00653A10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53A10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</w:rPr>
                              <w:t xml:space="preserve">Option 3: 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The MPR values given in 38.101-3 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[2] for cellular EN-DC shall adopt</w:t>
                            </w:r>
                            <w:r w:rsidRPr="00653A1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for V2X intra-band con-current operation where separate RF chains are used for Uu and SL.</w:t>
                            </w:r>
                          </w:p>
                          <w:p w:rsidR="00414F06" w:rsidRPr="00414F06" w:rsidRDefault="00414F06" w:rsidP="00414F06">
                            <w:pPr>
                              <w:pStyle w:val="a3"/>
                              <w:ind w:left="216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14F06" w:rsidRDefault="00414F06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Agreement</w:t>
                            </w:r>
                          </w:p>
                          <w:p w:rsidR="00653A10" w:rsidRDefault="00414F06" w:rsidP="00414F06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RAN4 ado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pt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s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Option 1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for </w:t>
                            </w:r>
                            <w:r w:rsidR="00653A10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MPR requirements for intra-band V2X con-current operation UE.</w:t>
                            </w:r>
                          </w:p>
                          <w:p w:rsidR="00653A10" w:rsidRDefault="00653A10" w:rsidP="00414F06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RAN4 can </w:t>
                            </w:r>
                            <w:r w:rsidR="00B21CA9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approve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B21CA9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 xml:space="preserve">the </w:t>
                            </w:r>
                            <w:r w:rsidR="00953D1C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related TP to capture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the agreed MPR requirements with [ ].</w:t>
                            </w:r>
                          </w:p>
                          <w:p w:rsidR="00414F06" w:rsidRPr="00414F06" w:rsidRDefault="00653A10" w:rsidP="00414F06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RAN4 allow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s revision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4253D4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of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MPR requirements un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til RAN4 #102 meeting based on the MPR simulation results from interested companies.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45483D" id="Text Box 10" o:spid="_x0000_s1029" type="#_x0000_t202" style="width:466.65pt;height:38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" fillcolor="white [3201]" strokeweight=".5pt">
                <v:textbox>
                  <w:txbxContent>
                    <w:p w:rsidR="00414F06" w:rsidRPr="00414F06" w:rsidRDefault="00414F06" w:rsidP="00414F06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b/>
                          <w:sz w:val="40"/>
                          <w:szCs w:val="36"/>
                        </w:rPr>
                        <w:t xml:space="preserve">WF: </w:t>
                      </w:r>
                      <w:r w:rsidR="00653A10">
                        <w:rPr>
                          <w:b/>
                          <w:sz w:val="40"/>
                          <w:szCs w:val="36"/>
                        </w:rPr>
                        <w:t>MPR</w:t>
                      </w:r>
                      <w:r>
                        <w:rPr>
                          <w:b/>
                          <w:sz w:val="40"/>
                          <w:szCs w:val="36"/>
                        </w:rPr>
                        <w:t xml:space="preserve"> requirements</w:t>
                      </w:r>
                    </w:p>
                    <w:p w:rsidR="00653A10" w:rsidRPr="00414F06" w:rsidRDefault="00653A10" w:rsidP="00653A10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Issue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3-1-1</w:t>
                      </w:r>
                      <w:r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 xml:space="preserve">: MPR for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 xml:space="preserve">intra-band V2X con-current </w:t>
                      </w:r>
                      <w:r w:rsidRPr="00653A1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  <w:lang w:val="en-GB"/>
                        </w:rPr>
                        <w:t>UE</w:t>
                      </w:r>
                    </w:p>
                    <w:p w:rsidR="00414F06" w:rsidRPr="00414F06" w:rsidRDefault="00414F06" w:rsidP="00653A10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414F06" w:rsidRDefault="00414F06" w:rsidP="00414F06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 w:rsidRPr="00414F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Candidate options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Option 1: </w:t>
                      </w: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 xml:space="preserve">Consider MPR requirements for intra-band V2X con-current 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operation</w:t>
                      </w: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 xml:space="preserve"> in R4-2112341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to keep the agreed MPR requirements in RAN4 #99-e meeting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>Option 2: S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pecify 2dB MPR for 23dBm 64QAM, 4dB MPR for 23dBm 256QAM, 4.5dB MPR for 26dBm 64QAM and 7dB MPR for 26dBm 256QAM, no matter what the RB allocation is.</w:t>
                      </w:r>
                    </w:p>
                    <w:p w:rsidR="00653A10" w:rsidRPr="00653A10" w:rsidRDefault="00653A10" w:rsidP="00653A10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53A10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</w:rPr>
                        <w:t xml:space="preserve">Option 3: 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The MPR values given in 38.101-3 </w:t>
                      </w:r>
                      <w:r w:rsidR="004253D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[2] for cellular EN-DC shall adopt</w:t>
                      </w:r>
                      <w:r w:rsidRPr="00653A1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for V2X intra-band con-current operation where separate RF chains are used for Uu and SL.</w:t>
                      </w:r>
                    </w:p>
                    <w:p w:rsidR="00414F06" w:rsidRPr="00414F06" w:rsidRDefault="00414F06" w:rsidP="00414F06">
                      <w:pPr>
                        <w:pStyle w:val="a3"/>
                        <w:ind w:left="216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414F06" w:rsidRDefault="00414F06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Agreement</w:t>
                      </w:r>
                    </w:p>
                    <w:p w:rsidR="00653A10" w:rsidRDefault="00414F06" w:rsidP="00414F06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RAN4 ado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pt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s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Option 1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for </w:t>
                      </w:r>
                      <w:r w:rsidR="00653A10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MPR requirements for intra-band V2X con-current operation UE.</w:t>
                      </w:r>
                    </w:p>
                    <w:p w:rsidR="00653A10" w:rsidRDefault="00653A10" w:rsidP="00414F06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RAN4 can </w:t>
                      </w:r>
                      <w:r w:rsidR="00B21CA9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approve</w:t>
                      </w:r>
                      <w:r w:rsid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="00B21CA9"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t xml:space="preserve">the </w:t>
                      </w:r>
                      <w:r w:rsidR="00953D1C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related TP to capture 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the agreed MPR requirements with [ ].</w:t>
                      </w:r>
                    </w:p>
                    <w:p w:rsidR="00414F06" w:rsidRPr="00414F06" w:rsidRDefault="00653A10" w:rsidP="00414F06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RAN4 allow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s revision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="004253D4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of 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MPR requirements un</w:t>
                      </w:r>
                      <w:bookmarkStart w:id="2" w:name="_GoBack"/>
                      <w:bookmarkEnd w:id="2"/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til RAN4 #102 meeting based on the MPR simulation results from interested companies.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53A10" w:rsidRDefault="00653A10"/>
    <w:p w:rsidR="00953D1C" w:rsidRDefault="00953D1C"/>
    <w:p w:rsidR="00414F06" w:rsidRPr="00D3762B" w:rsidRDefault="00414F06" w:rsidP="00414F06">
      <w:pPr>
        <w:pStyle w:val="1"/>
        <w:numPr>
          <w:ilvl w:val="0"/>
          <w:numId w:val="0"/>
        </w:numPr>
      </w:pPr>
      <w:r w:rsidRPr="00D3762B">
        <w:rPr>
          <w:rFonts w:hint="eastAsia"/>
        </w:rPr>
        <w:t>Reference</w:t>
      </w:r>
    </w:p>
    <w:p w:rsidR="00414F06" w:rsidRPr="003B37F8" w:rsidRDefault="00414F06" w:rsidP="00414F06">
      <w:pPr>
        <w:pStyle w:val="aa"/>
        <w:numPr>
          <w:ilvl w:val="0"/>
          <w:numId w:val="17"/>
        </w:numPr>
        <w:jc w:val="left"/>
        <w:rPr>
          <w:sz w:val="20"/>
        </w:rPr>
      </w:pPr>
      <w:r w:rsidRPr="00D3762B">
        <w:rPr>
          <w:sz w:val="20"/>
          <w:lang w:val="pt-BR"/>
        </w:rPr>
        <w:t>R4-21</w:t>
      </w:r>
      <w:r w:rsidR="00653A10">
        <w:rPr>
          <w:rFonts w:hint="eastAsia"/>
          <w:sz w:val="20"/>
          <w:lang w:val="pt-BR"/>
        </w:rPr>
        <w:t>14735</w:t>
      </w:r>
      <w:r w:rsidRPr="00D3762B">
        <w:rPr>
          <w:rFonts w:hint="eastAsia"/>
          <w:sz w:val="20"/>
          <w:lang w:val="pt-BR"/>
        </w:rPr>
        <w:t>,</w:t>
      </w:r>
      <w:r w:rsidRPr="003B37F8">
        <w:t xml:space="preserve"> </w:t>
      </w:r>
      <w:r>
        <w:t>“</w:t>
      </w:r>
      <w:r>
        <w:rPr>
          <w:sz w:val="20"/>
          <w:lang w:val="pt-BR"/>
        </w:rPr>
        <w:t>Email discussion summary for [100-e][1</w:t>
      </w:r>
      <w:r w:rsidRPr="003B37F8">
        <w:rPr>
          <w:sz w:val="20"/>
          <w:lang w:val="pt-BR"/>
        </w:rPr>
        <w:t>3</w:t>
      </w:r>
      <w:r w:rsidR="00953D1C">
        <w:rPr>
          <w:sz w:val="20"/>
          <w:lang w:val="pt-BR"/>
        </w:rPr>
        <w:t>5] NRSL_enh_Part2</w:t>
      </w:r>
      <w:r w:rsidRPr="00D3762B">
        <w:rPr>
          <w:rFonts w:hint="eastAsia"/>
          <w:sz w:val="20"/>
        </w:rPr>
        <w:t>,</w:t>
      </w:r>
      <w:r>
        <w:rPr>
          <w:sz w:val="20"/>
        </w:rPr>
        <w:t>”</w:t>
      </w:r>
      <w:r w:rsidRPr="00D3762B">
        <w:rPr>
          <w:rFonts w:hint="eastAsia"/>
          <w:sz w:val="20"/>
        </w:rPr>
        <w:t xml:space="preserve"> </w:t>
      </w:r>
      <w:r w:rsidRPr="00D3762B">
        <w:rPr>
          <w:sz w:val="20"/>
        </w:rPr>
        <w:t>Moderator (</w:t>
      </w:r>
      <w:r w:rsidR="00953D1C">
        <w:rPr>
          <w:sz w:val="20"/>
        </w:rPr>
        <w:t>CATT</w:t>
      </w:r>
      <w:r w:rsidRPr="00D3762B">
        <w:rPr>
          <w:sz w:val="20"/>
        </w:rPr>
        <w:t>)</w:t>
      </w:r>
      <w:r w:rsidRPr="00D3762B">
        <w:rPr>
          <w:rFonts w:hint="eastAsia"/>
          <w:sz w:val="20"/>
        </w:rPr>
        <w:t>, RAN4#100-e</w:t>
      </w:r>
    </w:p>
    <w:p w:rsidR="00953D1C" w:rsidRPr="00953D1C" w:rsidRDefault="00953D1C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sz w:val="20"/>
          <w:lang w:val="pt-BR"/>
        </w:rPr>
        <w:t>R4-21</w:t>
      </w:r>
      <w:r w:rsidRPr="00953D1C">
        <w:rPr>
          <w:sz w:val="20"/>
          <w:lang w:val="pt-BR"/>
        </w:rPr>
        <w:t>07870,</w:t>
      </w:r>
      <w:r>
        <w:rPr>
          <w:sz w:val="20"/>
          <w:lang w:val="pt-BR"/>
        </w:rPr>
        <w:t xml:space="preserve"> “</w:t>
      </w:r>
      <w:r w:rsidRPr="00953D1C">
        <w:rPr>
          <w:sz w:val="20"/>
          <w:lang w:val="en-US"/>
        </w:rPr>
        <w:t>WF on MPR requirements for intra-band con-current V2X operation</w:t>
      </w:r>
      <w:r>
        <w:rPr>
          <w:sz w:val="20"/>
          <w:lang w:val="en-US"/>
        </w:rPr>
        <w:t>,” LGE</w:t>
      </w:r>
      <w:r>
        <w:rPr>
          <w:sz w:val="20"/>
          <w:lang w:val="pt-BR"/>
        </w:rPr>
        <w:t>, RAN4 #99-e</w:t>
      </w:r>
    </w:p>
    <w:p w:rsidR="00502BF8" w:rsidRPr="00414F06" w:rsidRDefault="00414F06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 w:rsidRPr="00414F06">
        <w:rPr>
          <w:rFonts w:hint="eastAsia"/>
          <w:sz w:val="20"/>
          <w:lang w:val="pt-BR"/>
        </w:rPr>
        <w:t>R4-21</w:t>
      </w:r>
      <w:r w:rsidR="00953D1C">
        <w:rPr>
          <w:sz w:val="20"/>
          <w:lang w:val="pt-BR"/>
        </w:rPr>
        <w:t>12284,</w:t>
      </w:r>
      <w:r w:rsidRPr="00414F06">
        <w:rPr>
          <w:rFonts w:hint="eastAsia"/>
          <w:sz w:val="20"/>
          <w:lang w:val="pt-BR"/>
        </w:rPr>
        <w:t xml:space="preserve"> </w:t>
      </w:r>
      <w:r w:rsidRPr="00953D1C">
        <w:rPr>
          <w:sz w:val="20"/>
          <w:lang w:val="en-US"/>
        </w:rPr>
        <w:t>“</w:t>
      </w:r>
      <w:r w:rsidR="00953D1C" w:rsidRPr="00953D1C">
        <w:rPr>
          <w:sz w:val="20"/>
          <w:lang w:val="en-US"/>
        </w:rPr>
        <w:t>MPR specifications for intra-band con-current V2X operation</w:t>
      </w:r>
      <w:r w:rsidRPr="00953D1C">
        <w:rPr>
          <w:sz w:val="20"/>
          <w:lang w:val="en-US"/>
        </w:rPr>
        <w:t>,</w:t>
      </w:r>
      <w:r w:rsidRPr="00414F06">
        <w:rPr>
          <w:sz w:val="20"/>
          <w:lang w:val="pt-BR"/>
        </w:rPr>
        <w:t xml:space="preserve">” </w:t>
      </w:r>
      <w:r w:rsidR="00953D1C">
        <w:rPr>
          <w:sz w:val="20"/>
          <w:lang w:val="pt-BR"/>
        </w:rPr>
        <w:t>Qualcomm</w:t>
      </w:r>
      <w:r>
        <w:rPr>
          <w:sz w:val="20"/>
          <w:lang w:val="pt-BR"/>
        </w:rPr>
        <w:t>, RAN4 #100-e</w:t>
      </w:r>
    </w:p>
    <w:p w:rsidR="00414F06" w:rsidRPr="00414F06" w:rsidRDefault="00953D1C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rFonts w:hint="eastAsia"/>
          <w:sz w:val="20"/>
          <w:lang w:val="pt-BR"/>
        </w:rPr>
        <w:t>R4-2112341</w:t>
      </w:r>
      <w:r w:rsidR="00414F06" w:rsidRPr="00414F06">
        <w:rPr>
          <w:rFonts w:hint="eastAsia"/>
          <w:sz w:val="20"/>
          <w:lang w:val="pt-BR"/>
        </w:rPr>
        <w:t xml:space="preserve">, </w:t>
      </w:r>
      <w:r w:rsidR="00414F06" w:rsidRPr="00414F06">
        <w:rPr>
          <w:sz w:val="20"/>
          <w:lang w:val="pt-BR"/>
        </w:rPr>
        <w:t>“</w:t>
      </w:r>
      <w:r w:rsidRPr="00953D1C">
        <w:rPr>
          <w:sz w:val="20"/>
          <w:lang w:val="en-US"/>
        </w:rPr>
        <w:t>TP on MPR for NR V2X intra-band con-current operation with Uu</w:t>
      </w:r>
      <w:r w:rsidR="00414F06" w:rsidRPr="00953D1C">
        <w:rPr>
          <w:sz w:val="20"/>
          <w:lang w:val="en-US"/>
        </w:rPr>
        <w:t>,” LGE, RAN4 #100-e</w:t>
      </w:r>
    </w:p>
    <w:p w:rsidR="00414F06" w:rsidRPr="00414F06" w:rsidRDefault="00414F06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 w:rsidRPr="00414F06">
        <w:rPr>
          <w:sz w:val="20"/>
          <w:lang w:val="pt-BR"/>
        </w:rPr>
        <w:t>R4-211</w:t>
      </w:r>
      <w:r w:rsidR="00953D1C">
        <w:rPr>
          <w:sz w:val="20"/>
          <w:lang w:val="pt-BR"/>
        </w:rPr>
        <w:t>3410</w:t>
      </w:r>
      <w:r w:rsidRPr="00953D1C">
        <w:rPr>
          <w:sz w:val="20"/>
          <w:lang w:val="en-US"/>
        </w:rPr>
        <w:t>, “</w:t>
      </w:r>
      <w:r w:rsidR="00953D1C" w:rsidRPr="00953D1C">
        <w:rPr>
          <w:sz w:val="20"/>
          <w:lang w:val="en-US"/>
        </w:rPr>
        <w:t>Discussion on MPR requirements for intra-band con-current V2X operation</w:t>
      </w:r>
      <w:r w:rsidRPr="00953D1C">
        <w:rPr>
          <w:sz w:val="20"/>
          <w:lang w:val="en-US"/>
        </w:rPr>
        <w:t>,”</w:t>
      </w:r>
      <w:r w:rsidRPr="00414F06">
        <w:rPr>
          <w:sz w:val="20"/>
          <w:lang w:val="pt-BR"/>
        </w:rPr>
        <w:t xml:space="preserve"> </w:t>
      </w:r>
      <w:r w:rsidR="00953D1C">
        <w:rPr>
          <w:sz w:val="20"/>
          <w:lang w:val="pt-BR"/>
        </w:rPr>
        <w:t>Huawei</w:t>
      </w:r>
      <w:r w:rsidRPr="00414F06">
        <w:rPr>
          <w:sz w:val="20"/>
          <w:lang w:val="pt-BR"/>
        </w:rPr>
        <w:t>, RAN4 #100-e</w:t>
      </w:r>
    </w:p>
    <w:p w:rsidR="00414F06" w:rsidRDefault="00414F06"/>
    <w:sectPr w:rsidR="00414F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1FE" w:rsidRDefault="00BD71FE" w:rsidP="00414F06">
      <w:pPr>
        <w:spacing w:after="0" w:line="240" w:lineRule="auto"/>
      </w:pPr>
      <w:r>
        <w:separator/>
      </w:r>
    </w:p>
  </w:endnote>
  <w:endnote w:type="continuationSeparator" w:id="0">
    <w:p w:rsidR="00BD71FE" w:rsidRDefault="00BD71FE" w:rsidP="00414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1FE" w:rsidRDefault="00BD71FE" w:rsidP="00414F06">
      <w:pPr>
        <w:spacing w:after="0" w:line="240" w:lineRule="auto"/>
      </w:pPr>
      <w:r>
        <w:separator/>
      </w:r>
    </w:p>
  </w:footnote>
  <w:footnote w:type="continuationSeparator" w:id="0">
    <w:p w:rsidR="00BD71FE" w:rsidRDefault="00BD71FE" w:rsidP="00414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B7AB5"/>
    <w:multiLevelType w:val="hybridMultilevel"/>
    <w:tmpl w:val="7708E898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2E4E95"/>
    <w:multiLevelType w:val="hybridMultilevel"/>
    <w:tmpl w:val="E03E3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5A06"/>
    <w:multiLevelType w:val="hybridMultilevel"/>
    <w:tmpl w:val="C616DAB8"/>
    <w:lvl w:ilvl="0" w:tplc="5D42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9D13CB"/>
    <w:multiLevelType w:val="hybridMultilevel"/>
    <w:tmpl w:val="161A4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47D1E"/>
    <w:multiLevelType w:val="hybridMultilevel"/>
    <w:tmpl w:val="8D0A3F64"/>
    <w:lvl w:ilvl="0" w:tplc="51662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6F2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40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C9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A7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1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843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C3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6463F9"/>
    <w:multiLevelType w:val="hybridMultilevel"/>
    <w:tmpl w:val="25A0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36C24"/>
    <w:multiLevelType w:val="hybridMultilevel"/>
    <w:tmpl w:val="FB9409FC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72" w:hanging="420"/>
      </w:pPr>
    </w:lvl>
    <w:lvl w:ilvl="2" w:tplc="0409001B" w:tentative="1">
      <w:start w:val="1"/>
      <w:numFmt w:val="lowerRoman"/>
      <w:lvlText w:val="%3."/>
      <w:lvlJc w:val="right"/>
      <w:pPr>
        <w:ind w:left="692" w:hanging="420"/>
      </w:pPr>
    </w:lvl>
    <w:lvl w:ilvl="3" w:tplc="0409000F" w:tentative="1">
      <w:start w:val="1"/>
      <w:numFmt w:val="decimal"/>
      <w:lvlText w:val="%4."/>
      <w:lvlJc w:val="left"/>
      <w:pPr>
        <w:ind w:left="1112" w:hanging="420"/>
      </w:pPr>
    </w:lvl>
    <w:lvl w:ilvl="4" w:tplc="04090019" w:tentative="1">
      <w:start w:val="1"/>
      <w:numFmt w:val="lowerLetter"/>
      <w:lvlText w:val="%5)"/>
      <w:lvlJc w:val="left"/>
      <w:pPr>
        <w:ind w:left="1532" w:hanging="420"/>
      </w:pPr>
    </w:lvl>
    <w:lvl w:ilvl="5" w:tplc="0409001B" w:tentative="1">
      <w:start w:val="1"/>
      <w:numFmt w:val="lowerRoman"/>
      <w:lvlText w:val="%6."/>
      <w:lvlJc w:val="right"/>
      <w:pPr>
        <w:ind w:left="1952" w:hanging="420"/>
      </w:pPr>
    </w:lvl>
    <w:lvl w:ilvl="6" w:tplc="0409000F" w:tentative="1">
      <w:start w:val="1"/>
      <w:numFmt w:val="decimal"/>
      <w:lvlText w:val="%7."/>
      <w:lvlJc w:val="left"/>
      <w:pPr>
        <w:ind w:left="2372" w:hanging="420"/>
      </w:pPr>
    </w:lvl>
    <w:lvl w:ilvl="7" w:tplc="04090019" w:tentative="1">
      <w:start w:val="1"/>
      <w:numFmt w:val="lowerLetter"/>
      <w:lvlText w:val="%8)"/>
      <w:lvlJc w:val="left"/>
      <w:pPr>
        <w:ind w:left="2792" w:hanging="420"/>
      </w:pPr>
    </w:lvl>
    <w:lvl w:ilvl="8" w:tplc="0409001B" w:tentative="1">
      <w:start w:val="1"/>
      <w:numFmt w:val="lowerRoman"/>
      <w:lvlText w:val="%9."/>
      <w:lvlJc w:val="right"/>
      <w:pPr>
        <w:ind w:left="3212" w:hanging="420"/>
      </w:pPr>
    </w:lvl>
  </w:abstractNum>
  <w:abstractNum w:abstractNumId="7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>
    <w:nsid w:val="3B3A4EB7"/>
    <w:multiLevelType w:val="hybridMultilevel"/>
    <w:tmpl w:val="B47C6D4C"/>
    <w:lvl w:ilvl="0" w:tplc="E2FECDEE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EB0866"/>
    <w:multiLevelType w:val="hybridMultilevel"/>
    <w:tmpl w:val="AF9A12F2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5AA343F"/>
    <w:multiLevelType w:val="hybridMultilevel"/>
    <w:tmpl w:val="1AA2271A"/>
    <w:lvl w:ilvl="0" w:tplc="6DFA6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005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680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8F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8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000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A9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86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B8E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EB74B6A"/>
    <w:multiLevelType w:val="hybridMultilevel"/>
    <w:tmpl w:val="E5FA54D0"/>
    <w:lvl w:ilvl="0" w:tplc="229E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3655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2F5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62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00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81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CA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8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6F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207AB9"/>
    <w:multiLevelType w:val="hybridMultilevel"/>
    <w:tmpl w:val="B6EC0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E3EB5"/>
    <w:multiLevelType w:val="hybridMultilevel"/>
    <w:tmpl w:val="A9BE56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915FC"/>
    <w:multiLevelType w:val="hybridMultilevel"/>
    <w:tmpl w:val="0F54873A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6FF61DB"/>
    <w:multiLevelType w:val="hybridMultilevel"/>
    <w:tmpl w:val="AD3A16E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5"/>
  </w:num>
  <w:num w:numId="5">
    <w:abstractNumId w:val="1"/>
  </w:num>
  <w:num w:numId="6">
    <w:abstractNumId w:val="4"/>
  </w:num>
  <w:num w:numId="7">
    <w:abstractNumId w:val="5"/>
  </w:num>
  <w:num w:numId="8">
    <w:abstractNumId w:val="14"/>
  </w:num>
  <w:num w:numId="9">
    <w:abstractNumId w:val="3"/>
  </w:num>
  <w:num w:numId="10">
    <w:abstractNumId w:val="7"/>
  </w:num>
  <w:num w:numId="11">
    <w:abstractNumId w:val="2"/>
  </w:num>
  <w:num w:numId="12">
    <w:abstractNumId w:val="10"/>
  </w:num>
  <w:num w:numId="13">
    <w:abstractNumId w:val="17"/>
  </w:num>
  <w:num w:numId="14">
    <w:abstractNumId w:val="12"/>
  </w:num>
  <w:num w:numId="15">
    <w:abstractNumId w:val="8"/>
  </w:num>
  <w:num w:numId="16">
    <w:abstractNumId w:val="9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xNDa0MLIwMzM2NjNV0lEKTi0uzszPAykwrAUAQ+NNlywAAAA="/>
  </w:docVars>
  <w:rsids>
    <w:rsidRoot w:val="00502BF8"/>
    <w:rsid w:val="00050A71"/>
    <w:rsid w:val="000C439D"/>
    <w:rsid w:val="00144B6C"/>
    <w:rsid w:val="00155BCD"/>
    <w:rsid w:val="0015789C"/>
    <w:rsid w:val="0017119D"/>
    <w:rsid w:val="00207661"/>
    <w:rsid w:val="002560AC"/>
    <w:rsid w:val="002626FB"/>
    <w:rsid w:val="00282B7F"/>
    <w:rsid w:val="0029574C"/>
    <w:rsid w:val="002D5F60"/>
    <w:rsid w:val="003A689A"/>
    <w:rsid w:val="003C7D6A"/>
    <w:rsid w:val="003F2336"/>
    <w:rsid w:val="00414F06"/>
    <w:rsid w:val="00417306"/>
    <w:rsid w:val="00420E3B"/>
    <w:rsid w:val="004253D4"/>
    <w:rsid w:val="004664BF"/>
    <w:rsid w:val="004F34F0"/>
    <w:rsid w:val="00500A5C"/>
    <w:rsid w:val="00502BF8"/>
    <w:rsid w:val="00524BE5"/>
    <w:rsid w:val="00554D59"/>
    <w:rsid w:val="00582A66"/>
    <w:rsid w:val="00597F85"/>
    <w:rsid w:val="005C6A47"/>
    <w:rsid w:val="006142FD"/>
    <w:rsid w:val="00614D59"/>
    <w:rsid w:val="0062032D"/>
    <w:rsid w:val="00624749"/>
    <w:rsid w:val="00631FD0"/>
    <w:rsid w:val="00653A10"/>
    <w:rsid w:val="006926D3"/>
    <w:rsid w:val="00767BCE"/>
    <w:rsid w:val="007A7C24"/>
    <w:rsid w:val="007E01F4"/>
    <w:rsid w:val="00811FC9"/>
    <w:rsid w:val="00836B38"/>
    <w:rsid w:val="0084730E"/>
    <w:rsid w:val="008609CE"/>
    <w:rsid w:val="008745CD"/>
    <w:rsid w:val="008C2610"/>
    <w:rsid w:val="008C6D0B"/>
    <w:rsid w:val="008C73C3"/>
    <w:rsid w:val="00903DE9"/>
    <w:rsid w:val="0090772D"/>
    <w:rsid w:val="00915941"/>
    <w:rsid w:val="0092220F"/>
    <w:rsid w:val="00926401"/>
    <w:rsid w:val="00927160"/>
    <w:rsid w:val="00953D1C"/>
    <w:rsid w:val="0097026E"/>
    <w:rsid w:val="00A1196C"/>
    <w:rsid w:val="00A87415"/>
    <w:rsid w:val="00AF7028"/>
    <w:rsid w:val="00B21CA9"/>
    <w:rsid w:val="00B52D76"/>
    <w:rsid w:val="00BA2CA4"/>
    <w:rsid w:val="00BA671A"/>
    <w:rsid w:val="00BB6F8D"/>
    <w:rsid w:val="00BD71FE"/>
    <w:rsid w:val="00BF0F8E"/>
    <w:rsid w:val="00C43AE9"/>
    <w:rsid w:val="00C55993"/>
    <w:rsid w:val="00C9068C"/>
    <w:rsid w:val="00D63BB9"/>
    <w:rsid w:val="00D71F5E"/>
    <w:rsid w:val="00DD42CB"/>
    <w:rsid w:val="00DE59BD"/>
    <w:rsid w:val="00E07C34"/>
    <w:rsid w:val="00E35E03"/>
    <w:rsid w:val="00E94B78"/>
    <w:rsid w:val="00EE7247"/>
    <w:rsid w:val="00F36CDB"/>
    <w:rsid w:val="00F54424"/>
    <w:rsid w:val="00F75CE2"/>
    <w:rsid w:val="00F80EAA"/>
    <w:rsid w:val="00F94AAD"/>
    <w:rsid w:val="00FA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0184FD-C3A1-4BFB-BCFA-7E06A5E2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F8"/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B78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hAnsi="Arial" w:cs="Times New Roman"/>
      <w:sz w:val="36"/>
      <w:szCs w:val="20"/>
      <w:lang w:val="sv-SE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E94B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94B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E94B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94B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94B78"/>
    <w:pPr>
      <w:keepNext/>
      <w:keepLines/>
      <w:numPr>
        <w:ilvl w:val="5"/>
        <w:numId w:val="10"/>
      </w:numPr>
      <w:spacing w:before="120" w:after="180" w:line="240" w:lineRule="auto"/>
      <w:outlineLvl w:val="5"/>
    </w:pPr>
    <w:rPr>
      <w:rFonts w:ascii="Arial" w:hAnsi="Arial" w:cs="Times New Roman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E94B78"/>
    <w:pPr>
      <w:keepNext/>
      <w:keepLines/>
      <w:numPr>
        <w:ilvl w:val="6"/>
        <w:numId w:val="10"/>
      </w:numPr>
      <w:spacing w:before="120" w:after="180" w:line="240" w:lineRule="auto"/>
      <w:outlineLvl w:val="6"/>
    </w:pPr>
    <w:rPr>
      <w:rFonts w:ascii="Arial" w:hAnsi="Arial" w:cs="Times New Roman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E94B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94B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F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8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"/>
    <w:uiPriority w:val="34"/>
    <w:qFormat/>
    <w:rsid w:val="00DE59B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E59BD"/>
    <w:rPr>
      <w:color w:val="0000FF"/>
      <w:u w:val="single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2Char">
    <w:name w:val="제목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4Char">
    <w:name w:val="제목 4 Char"/>
    <w:basedOn w:val="a0"/>
    <w:link w:val="4"/>
    <w:rsid w:val="00E94B78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5Char">
    <w:name w:val="제목 5 Char"/>
    <w:basedOn w:val="a0"/>
    <w:link w:val="5"/>
    <w:rsid w:val="00E94B78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6Char">
    <w:name w:val="제목 6 Char"/>
    <w:basedOn w:val="a0"/>
    <w:link w:val="6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7Char">
    <w:name w:val="제목 7 Char"/>
    <w:basedOn w:val="a0"/>
    <w:link w:val="7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8Char">
    <w:name w:val="제목 8 Char"/>
    <w:basedOn w:val="a0"/>
    <w:link w:val="8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9Char">
    <w:name w:val="제목 9 Char"/>
    <w:basedOn w:val="a0"/>
    <w:link w:val="9"/>
    <w:rsid w:val="00E94B78"/>
    <w:rPr>
      <w:rFonts w:ascii="Arial" w:eastAsiaTheme="minorEastAsia" w:hAnsi="Arial" w:cs="Times New Roman"/>
      <w:sz w:val="36"/>
      <w:szCs w:val="20"/>
      <w:lang w:val="sv-SE"/>
    </w:rPr>
  </w:style>
  <w:style w:type="paragraph" w:styleId="80">
    <w:name w:val="toc 8"/>
    <w:basedOn w:val="10"/>
    <w:rsid w:val="00E94B78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hAnsi="Times New Roman" w:cs="Times New Roman"/>
      <w:b/>
      <w:noProof/>
      <w:szCs w:val="20"/>
      <w:lang w:val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E94B78"/>
    <w:pPr>
      <w:spacing w:after="100"/>
    </w:pPr>
  </w:style>
  <w:style w:type="paragraph" w:styleId="a7">
    <w:name w:val="header"/>
    <w:basedOn w:val="a"/>
    <w:link w:val="Char0"/>
    <w:uiPriority w:val="99"/>
    <w:unhideWhenUsed/>
    <w:rsid w:val="00414F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414F06"/>
  </w:style>
  <w:style w:type="paragraph" w:styleId="a8">
    <w:name w:val="footer"/>
    <w:basedOn w:val="a"/>
    <w:link w:val="Char1"/>
    <w:uiPriority w:val="99"/>
    <w:unhideWhenUsed/>
    <w:rsid w:val="00414F0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414F06"/>
  </w:style>
  <w:style w:type="paragraph" w:customStyle="1" w:styleId="a9">
    <w:name w:val="文稿标题"/>
    <w:basedOn w:val="a"/>
    <w:rsid w:val="00414F06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SimSun" w:hAnsi="Times New Roman" w:cs="SimSun"/>
      <w:b/>
      <w:sz w:val="24"/>
      <w:szCs w:val="20"/>
      <w:lang w:val="en-GB" w:eastAsia="zh-CN"/>
    </w:rPr>
  </w:style>
  <w:style w:type="character" w:customStyle="1" w:styleId="Char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5"/>
    <w:uiPriority w:val="34"/>
    <w:qFormat/>
    <w:locked/>
    <w:rsid w:val="00414F06"/>
  </w:style>
  <w:style w:type="paragraph" w:customStyle="1" w:styleId="aa">
    <w:name w:val="参考资料列表"/>
    <w:basedOn w:val="ab"/>
    <w:link w:val="Char2"/>
    <w:rsid w:val="00414F06"/>
    <w:pPr>
      <w:overflowPunct w:val="0"/>
      <w:autoSpaceDE w:val="0"/>
      <w:autoSpaceDN w:val="0"/>
      <w:adjustRightInd w:val="0"/>
      <w:spacing w:before="80" w:after="80" w:line="240" w:lineRule="auto"/>
      <w:ind w:leftChars="0" w:left="680" w:firstLineChars="0" w:hanging="567"/>
      <w:contextualSpacing w:val="0"/>
      <w:jc w:val="both"/>
      <w:textAlignment w:val="baseline"/>
    </w:pPr>
    <w:rPr>
      <w:rFonts w:ascii="Times New Roman" w:eastAsia="SimSun" w:hAnsi="Times New Roman" w:cs="Times New Roman"/>
      <w:sz w:val="21"/>
      <w:lang w:val="en-GB" w:eastAsia="zh-CN"/>
    </w:rPr>
  </w:style>
  <w:style w:type="character" w:customStyle="1" w:styleId="Char2">
    <w:name w:val="参考资料列表 Char"/>
    <w:link w:val="aa"/>
    <w:rsid w:val="00414F06"/>
    <w:rPr>
      <w:rFonts w:ascii="Times New Roman" w:eastAsia="SimSun" w:hAnsi="Times New Roman" w:cs="Times New Roman"/>
      <w:sz w:val="21"/>
      <w:lang w:val="en-GB" w:eastAsia="zh-CN"/>
    </w:rPr>
  </w:style>
  <w:style w:type="paragraph" w:styleId="ab">
    <w:name w:val="List"/>
    <w:basedOn w:val="a"/>
    <w:uiPriority w:val="99"/>
    <w:semiHidden/>
    <w:unhideWhenUsed/>
    <w:rsid w:val="00414F06"/>
    <w:pPr>
      <w:ind w:leftChars="200" w:left="100" w:hangingChars="200" w:hanging="200"/>
      <w:contextualSpacing/>
    </w:pPr>
  </w:style>
  <w:style w:type="paragraph" w:customStyle="1" w:styleId="CRCoverPage">
    <w:name w:val="CR Cover Page"/>
    <w:link w:val="CRCoverPageChar"/>
    <w:qFormat/>
    <w:rsid w:val="00414F0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414F06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6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7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2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1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51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0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9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9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8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4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7783-F660-494F-AA26-D2F2D386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113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Verizon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suhwan.lim</dc:creator>
  <cp:keywords/>
  <dc:description/>
  <cp:lastModifiedBy>임수환/책임연구원/미래기술센터 C&amp;M표준(연)5G무선통신표준Task(suhwan.lim@lge.com)</cp:lastModifiedBy>
  <cp:revision>3</cp:revision>
  <dcterms:created xsi:type="dcterms:W3CDTF">2021-08-26T01:07:00Z</dcterms:created>
  <dcterms:modified xsi:type="dcterms:W3CDTF">2021-08-26T05:43:00Z</dcterms:modified>
</cp:coreProperties>
</file>